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6256f06b471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762000" cy="1143000"/>
            <wp:effectExtent l="0" t="0" r="0" b="0"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inetpub\ita\app\Content\img\logo.png"/>
                    <pic:cNvPicPr/>
                  </pic:nvPicPr>
                  <pic:blipFill>
                    <a:blip xmlns:r="http://schemas.openxmlformats.org/officeDocument/2006/relationships" r:embed="Rf08a170b2db6436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TH SarabunPSK" w:hAnsi="TH SarabunPSK" w:cs="TH SarabunPSK"/>
          <w:sz w:val="32"/>
          <w:b/>
        </w:rPr>
        <w:t>แบบตรวจการเปิดเผยข้อมูลสาธารณะ</w:t>
      </w:r>
    </w:p>
    <w:p>
      <w:pPr>
        <w:jc w:val="center"/>
      </w:pPr>
      <w:r>
        <w:rPr>
          <w:rFonts w:ascii="TH SarabunPSK" w:hAnsi="TH SarabunPSK" w:cs="TH SarabunPSK"/>
          <w:sz w:val="32"/>
          <w:b/>
        </w:rPr>
        <w:t>Open Data Integrity and Transparency Assessment (OIT)</w:t>
      </w:r>
    </w:p>
    <w:p>
      <w:pPr>
        <w:jc w:val="center"/>
      </w:pPr>
      <w:r>
        <w:rPr>
          <w:rFonts w:ascii="TH SarabunPSK" w:hAnsi="TH SarabunPSK" w:cs="TH SarabunPSK"/>
          <w:sz w:val="32"/>
          <w:b/>
        </w:rPr>
        <w:t>การประเมินคุณธรรมและความโปร่งใสในการดำเนินงานของหน่วยงานภาครัฐ</w:t>
      </w:r>
    </w:p>
    <w:p>
      <w:pPr>
        <w:jc w:val="center"/>
      </w:pPr>
      <w:r>
        <w:rPr>
          <w:rFonts w:ascii="TH SarabunPSK" w:hAnsi="TH SarabunPSK" w:cs="TH SarabunPSK"/>
          <w:sz w:val="32"/>
          <w:b/>
        </w:rPr>
        <w:t>ประจำปีงบประมาณ พ.ศ. 2565</w:t>
      </w:r>
    </w:p>
    <w:p>
      <w:r>
        <w:t/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ตัวชี้วัดที่ 9 การเปิดเผยข้อมูล</w:t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ตัวชี้วัดย่อยที่ 9.1 ข้อมูลพื้นฐาน</w:t>
      </w:r>
    </w:p>
    <w:tbl>
      <w:tblPr>
        <w:tblW w:w="5000" w:type="pct"/>
        <w:tblBorders>
          <w:top w:val="single" w:sz="5"/>
          <w:bottom w:val="single" w:sz="5"/>
          <w:left w:val="single" w:sz="5"/>
          <w:right w:val="single" w:sz="5"/>
          <w:insideH w:val="single" w:sz="5"/>
          <w:insideV w:val="single" w:sz="5"/>
          <w:tblLayout w:type="fixed"/>
        </w:tblBorders>
      </w:tblPr>
      <w:tblCellMar>
        <w:top w:w="108" w:type="dxa"/>
        <w:left w:w="108" w:type="dxa"/>
        <w:bottom w:w="108" w:type="dxa"/>
        <w:right w:w="108" w:type="dxa"/>
      </w:tblCellMar>
      <w:tr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ข้อ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ประเด็นการตรวจ</w:t>
            </w:r>
          </w:p>
          <w:tcPr>
            <w:shd w:fill="BFBFBF"/>
            <w:tcW w:w="40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ไม่มี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URL</w:t>
            </w:r>
          </w:p>
          <w:tcPr>
            <w:shd w:fill="BFBFBF"/>
            <w:tcW w:w="37.5" w:type="pct"/>
            <w:vAlign w:val="center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ข้อมูลพื้นฐาน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โครงสร้าง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http://www.olo.go.th/data.php?content_id=7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โครงสร้าง
องค์การบริหารส่วนตำบล ประกอบด้วย สภาองค์การบริหารส่วนตำบล  และนายกองค์การบริหารส่วนตำบล สภาองค์การบริหารส่วนตำบล เป็นผู้กำหนดนโยบายและกำกับดูแลกรรมการบริหาร ของนายกองค์การบริหารส่วนตำบล  ประกอบด้วยสมาชิกสภาองค์การบริหารส่วนตำบล จำนวนหมู่บ้านละหนึ่งคน ซึ่งเลือกตั้งขึ้นโดยราษฎรผู้มีสิทธิเลือกตั้งในแต่ละหมู่บ้านในเขตองค์การบริหารส่วนตำบลนั้น 
องค์การบริหารส่วนตำบล มีนายกองค์การบริหารส่วนตำบล หนึ่งคน ซึ่งมาจากการเลือกตั้งผู้บริหารท้องถิ่นโดยตรง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
การบริหาร
กฎหมายกำหนดให้มีคณะกรรมการบริหาร อบต. (ม.58) ประกอบด้วยนายกองค์การบริหารส่วนตำบล 1 คน รองนายกองค์การบริหารส่วนตำบล 2 คน ซึ่งมาจากการเลือกตั้งโดยตรงของประชาชน ผู้บริหารขององค์การบริหารส่วนตำบลหรือผู้บริหารท้องถิ่นเรียกว่านายกองค์การบริหารส่วนตำบล ซึ่งมาจากการเลือกตั้งผู้บริหารท้องถิ่นโดยตรง
องค์การบริหารส่วนตำบลมีนายกองค์การบริหารส่วนตำบล เป็นผู้กำหนดนโยบาย ซึ่งเป็นผู้ใช้อำนาจบริหารงานองค์การบริหารส่วนตำบล และ มีพนักงานประจำที่เป็นข้าราชการส่วนท้องถิ่นเป็นผู้ทำงานประจำวันโดยมีปลัดอบต. ผู้อำนวยการกอง เป็นหัวหน้างานบริหาร ภายในองค์กรมีการแบ่งออกเป็นหน่วยงานต่างๆ ได้เท่าที่จำเป็นตามภาระหน้าที่ของ อบต.แต่ละแห่งเพื่อตอบสนองความต้องการของประชาชนในพื้นที่ที่รับผิดชอบอยู่ เช่น
-  สำนักปลัดองค์การบริหารส่วนตำบล
-  กองคลัง
-  กองช่าง
-  กองการศึกษา ศาสนาและวัฒนธรรม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ข้อมูลผู้บริหาร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http://www.olo.go.th/data.php?content_id=11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ข้อมูลผู้บริหาร
ประกอบด้วยนายกองค์การบริหารส่วนตำบล 1 คน รองนายกองค์การบริหารส่วนตำบล 2 คน 
ข้าราชการส่วนท้องถิ่นมีปลัดอบต. ผู้อำนวยการกอง เป็นหัวหน้างานบริหาร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อำนาจหน้าที่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http://www.olo.go.th/data.php?content_id=6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อำนาจหน้าที่
1. เป็นองค์กรปกครองส่วนท้องถิ่นระดับตำบล : มี
ฐานะเป็นนิติบุคคล และเป็นราชการบริหารส่วนท้องถิ่น
  2. มีอำนาจหน้าที่ในการพัฒนาตำบลทั้งในด้านเศรษฐกิจ สังคม และวัฒนธรรม : การจัดระบบการบริการสาธารณะเพื่อประโยชน์ของประชาชนในท้องถิ่นของตนเอง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O4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แผนยุทธศาสตร์หรือแผนพัฒนาหน่วยงาน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http://www.olo.go.th/news.php?id_type=37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แผนยุทธศาสตร์หรือแผนพัฒนาหน่วยงาน	
การจัดทำแผนพัฒนาขององค์การบริหารส่วนตำบลโอโล เป็นการรวบรวมปัญหา ความต้องการจากประชาคมหมู่บ้าน และแผนชุมชน มาจัดทำเป็นแผนยุทธศาสตร์การพัฒนา เพื่อให้เป็นแนวทางที่มุ่งไปสู่สภาพการณ์ที่ต้องการให้เกิดขึ้นในอนาคต โดยกำหนดแนวทางการพัฒนาให้ประสานสอดคล้องกับแผนพัฒนาอำเภอ  แผนพัฒนาจังหวัด และแนวนโยบายรัฐบาล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O5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ข้อมูลการติดต่อ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http://www.olo.go.th/data.php?content_id=10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ข้อมูลการติดต่อ
องค์การบริหารส่วนตำบลโอโล
ได้แจ้งเวลา สถานที่ แผนที่ พิกัด ขององค์กรเพื่อความสะดวกของประชาชน ในการมาติดต่อสื่อสารงานกับองค์กร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O6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กฎหมายที่เกี่ยวข้อง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http://www.olo.go.th/news.php?id_type=78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กฎหมายที่เกี่ยวข้อง
กฎหมายและระเบียบเกี่ยวกับการปฏิบัติงานขององค์กรปกครองส่วนท้องถิ่นได้รวบรวม เรียบเรียงกฎหมายและระเบียบเกี่ยวกับการปฏิบัติงานของพนักงานส่วนท้องถิ่น เพื่อใช้เป็นคู่มือในการศึกษา ค้นคว้า พัฒนาตนเองอย่างต่อเนื่อง เพื่อทําหน้าที่ในการจัดบริการสาธารณะแก่ประชาชนในพื้นที่ตามเจตนารมย์ของการจัดตั้งองค์กรปกครองส่วนท้องถิ่น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ข่าวประชาสัมพันธ์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O7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ข่าวประชาสัมพันธ์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http://www.olo.go.th/news.php?id_type=1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ข่าวประชาสัมพันธ์
องค์การบริหารส่วนตำบลโอโล ได้ลงข้อมูลข่าวสาวรายงานข้อเท็จจริงหรือเหตุการณ์ต่างๆที่เกิดขึ้น ที่ส่งผลต่อภาพลักษณ์ ความรู้สึกทัศนคติที่ดีต่อองค์กร และนำไปสู่ความร่วมมือของคนภายในและภายนอกองค์กร และเพื่อเป็นการประชาสัมพันธ์ให้ประชาชนได้ทราบถึงการทำงานต่างๆขององค์กร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การปฏิสัมพันธ์ข้อมูล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O8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Q&amp;A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http://www.olo.go.th/webboard.php?Category=webboard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Q&amp;A
กระดาน แจ้งข่าวสาร ข้อมูล และแลกเปลี่ยนความคิดเห็นกัน กระดานสนทนา (Webboard) อนุญาตให้ผู้เยี่ยมชมเว็บไซต์ สามารถตั้งหัวข้อกระทู้ เพื่อประกาศข่าวสาร แลกเปลี่ยนความคิดเห็นกันได้ และสามารถแยก หัวข้อต่างๆ ออกเป็นกระทู้ๆ มีความโต้ตอบกันในการสนทนา 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O9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Social Network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http://www.olo.go.th/data.php?content_id=35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Social Network
เครือข่ายสังคมออนไลน์ เชื่อมโยงถึงกัน ทำความ รู้จักกัน สื่อสารถึงกันได้ ผ่านทางระบบอินเทอร์เน็ต ในรูปแบบการให้บริการผ่านเว็บไซต์ที่เชื่อมโยง ระหว่างบุคคลต่อบุคคล ไปจนถึงบุคคลกับกลุ่มบุคคล ซึ่งองค์การบริหารส่วนตำบลโอโล ได้มีช่องทางการติดต่อสื่อสาร เว็บไซต์ อบต. เฟตบุ๊ค โอเพ็นแชทไลน์ ในการประชาสัมพันธ์ต่อติดสารกับประชาชน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</w:tbl>
    <w:p>
      <w:pPr>
        <w:jc w:val="left"/>
      </w:pPr>
      <w:r>
        <w:rPr>
          <w:rFonts w:ascii="TH SarabunPSK" w:hAnsi="TH SarabunPSK" w:cs="TH SarabunPSK"/>
          <w:sz w:val="32"/>
        </w:rPr>
        <w:t/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ตัวชี้วัดย่อยที่ 9.2 การบริหารงาน</w:t>
      </w:r>
    </w:p>
    <w:tbl>
      <w:tblPr>
        <w:tblW w:w="5000" w:type="pct"/>
        <w:tblBorders>
          <w:top w:val="single" w:sz="5"/>
          <w:bottom w:val="single" w:sz="5"/>
          <w:left w:val="single" w:sz="5"/>
          <w:right w:val="single" w:sz="5"/>
          <w:insideH w:val="single" w:sz="5"/>
          <w:insideV w:val="single" w:sz="5"/>
          <w:tblLayout w:type="fixed"/>
        </w:tblBorders>
      </w:tblPr>
      <w:tblCellMar>
        <w:top w:w="108" w:type="dxa"/>
        <w:left w:w="108" w:type="dxa"/>
        <w:bottom w:w="108" w:type="dxa"/>
        <w:right w:w="108" w:type="dxa"/>
      </w:tblCellMar>
      <w:tr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ข้อ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ประเด็นการตรวจ</w:t>
            </w:r>
          </w:p>
          <w:tcPr>
            <w:shd w:fill="BFBFBF"/>
            <w:tcW w:w="40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ไม่มี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URL</w:t>
            </w:r>
          </w:p>
          <w:tcPr>
            <w:shd w:fill="BFBFBF"/>
            <w:tcW w:w="37.5" w:type="pct"/>
            <w:vAlign w:val="center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แผนการดำเนินงาน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O10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แผนดำเนินงานประจำปี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แผนดำเนินงานประจำปี
แผนปฏิบัติการประจําปีเป็นแผนปฏิบัติราชการประจําปีของส่วนราชการ (กระทรวง/กรม) ที่แสดง
ให้เห็นถึงภารกิจที่จะดําเนินการในปีใดปีหนึ่งที่กําหนด ภายใต้แผนปฏิบัติราชการ 4 ปีของส่วนราชการนั้น
โดยจะมีสาระสําคัญเช่นเดียวกับแผนปฏิบัติราชการ 4 ปีแต่จัดทําแผนประจําปีที่ละเอียดและชัดเจนขึ้น เพื่อนําไปเป็นแนวทางในการปฏิบัติงานและเป็นกรอบในการจัดทําคําของบประมาณรายจ่ายประจําปีรวมถึงการรายงานผลการปฏิบัติงานราชการเมื่อสิ้นปีงบประมาณ ซึ่งมีรายละเอียดโครงการ/กิจกรรม ผู้รับผิดชอบงบประมาณ ตัวบ่งชี้ความสําเร็จของการดําเนินงานตามโครงการ/กิจกรรม และค่าเป้าหมายของตัวบ่งชี้ที่กําหนดว่าจะต้องทําให้ได้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O11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รายงานการกำกับติดตามการดำเนินงานประจำปี รอบ 6 เดือน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http://www.olo.go.th/news.php?id_type=51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รายงานผลการปฏิบัติงานราชการเ6เดือน หลังจากปฎิบัติ ซึ่งมีรายละเอียดโครงการ/กิจกรรม ผู้รับผิดชอบงบประมาณ ตัวบ่งชี้ความสําเร็จของการดําเนินงานตามโครงการ/กิจกรรม และค่าเป้าหมายของตัวบ่งชี้ที่กําหนดว่าจะต้องทําให้ได้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O12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รายงานผลการดำเนินงานประจำปี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http://www.olo.go.th/news.php?id_type=11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รายงานผลการดำเนินงาน หลังจากปฎิบัติ ซึ่งมีรายละเอียดโครงการ/กิจกรรม ผู้รับผิดชอบงบประมาณ ตัวบ่งชี้ความสําเร็จของการดําเนินงานตามโครงการ/กิจกรรม และค่าเป้าหมายของตัวบ่งชี้ที่กําหนดว่าจะต้องทําให้ได้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การปฏิบัติงาน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O13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คู่มือหรือมาตรฐานการปฏิบัติงาน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http://www.olo.go.th/news.php?id_type=52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เอกสารที่หน่วยงานสร้างขึ้นมาเพื่อเป็นแนวทางในการปฏิบัติงานของหน่วยงานและใช้เป็นคู่มือสำหรับศึกษาการปฏิบัติงานของบุคลากรในหน่วยงานอีกทั้งยังสามารถปรับปรุงให้สอดคล้องกับระเบียบ วิธี และเทคโนโลยี ที่เปลี่ยนไปในอนาคต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การให้บริการ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O14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คู่มือหรือมาตรฐานการให้บริการ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http://www.olo.go.th/news.php?id_type=53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การให้ความช่วยเหลือหรือการดำเนินการเพื่อประโยชน์ของผู้อื่น การบริการที่ดีผู้รับบริการ
จะได้รับความประทับใจและเกิดความชื่นชมองค์กร อันเป็นการสร้างภาพลักษณ์ที่ดีแก่องค์กร เบื้องหลังความสำเร็จของทุกงาน
มักจะมีงานบริการเป็นเครื่องมือสนับสนุน ไม่ว่าจะเป็นงานประชาสัมพันธ์ งานบริการข้อมูลวิชาการต่าง ๆ ตลอดทั้งความร่วมมือ
ร่วมแรงร่วมใจ จากเจ้าหน้าที่ทุกระดับ ซึ่งจะต้องช่วยกันขับเคลื่อนพัฒนางานบริการให้มีคุณภาพ และมีประสิทธิภาพ จนเกิดเป็น
“การบริการที่ดี” ซึ่งการบริการที่ดีต้องเกิดขึ้นจากใจ เพราะการบริการเป็นการอำนวยความสะดวกให้กับผู้ใช้บริการ เพื่อให้เกิดความรวดเร็ว สบายใจและพึงพอใจสูงสุด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O15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ข้อมูลเชิงสถิติการให้บริการ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http://www.olo.go.th/news.php?id_type=54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ข้อมูลเชิงสถิติการให้บริการ 
แสดงข้อมูลการให้บริการประชาชน
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O16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รายงานผลการสำรวจความพึงพอใจการให้บริการ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http://www.olo.go.th/news.php?id_type=55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ความพึงพอใจของผู้รับบริการจากองค์กรปกครองส่วนท้องถิ่นเป็นตัวชี้วัดหนึ่งที่สำคัญของ
องค์กรภาครัฐ ประชาชนผู้รับบริการภายใต้เขตพื้นที่ความรับผิดชอบ คุณภาพการให้บริการ ความรับผิดชอบ ความสามารถในการตอบสนองและการพัฒนาปรับปรุงการบริการสาธารณะอย่างต่อเนื่อง
องค์กรภาครัฐในยุคแห่งการเปลี่ยนแปลงสู่ความ
เป็นเลิศที่มีประชาชนเป็นศูนย์กลาง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O17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E-Service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http://www.olo.go.th/data.php?content_id=34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แพลตฟอร์มออนไลน์ บริการออนไลน์ โดยประชาชนไม่ต้องเดินทางไกลในการติดต่องานกับหน่วยงาน สามารถทำได้ทุกที่ ที่มีอินเตอร์เน๊ต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</w:tbl>
    <w:p>
      <w:pPr>
        <w:jc w:val="left"/>
      </w:pPr>
      <w:r>
        <w:rPr>
          <w:rFonts w:ascii="TH SarabunPSK" w:hAnsi="TH SarabunPSK" w:cs="TH SarabunPSK"/>
          <w:sz w:val="32"/>
        </w:rPr>
        <w:t/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ตัวชี้วัดย่อยที่ 9.3 การบริหารเงินงบประมาณ</w:t>
      </w:r>
    </w:p>
    <w:tbl>
      <w:tblPr>
        <w:tblW w:w="5000" w:type="pct"/>
        <w:tblBorders>
          <w:top w:val="single" w:sz="5"/>
          <w:bottom w:val="single" w:sz="5"/>
          <w:left w:val="single" w:sz="5"/>
          <w:right w:val="single" w:sz="5"/>
          <w:insideH w:val="single" w:sz="5"/>
          <w:insideV w:val="single" w:sz="5"/>
          <w:tblLayout w:type="fixed"/>
        </w:tblBorders>
      </w:tblPr>
      <w:tblCellMar>
        <w:top w:w="108" w:type="dxa"/>
        <w:left w:w="108" w:type="dxa"/>
        <w:bottom w:w="108" w:type="dxa"/>
        <w:right w:w="108" w:type="dxa"/>
      </w:tblCellMar>
      <w:tr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ข้อ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ประเด็นการตรวจ</w:t>
            </w:r>
          </w:p>
          <w:tcPr>
            <w:shd w:fill="BFBFBF"/>
            <w:tcW w:w="40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ไม่มี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URL</w:t>
            </w:r>
          </w:p>
          <w:tcPr>
            <w:shd w:fill="BFBFBF"/>
            <w:tcW w:w="37.5" w:type="pct"/>
            <w:vAlign w:val="center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แผนการใช้จ่ายงบประมาณประจำปี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O18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แผนการใช้จ่ายงบประมาณประจำปี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http://www.olo.go.th/news.php?id_type=33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แผนแสดงรายละเอียดการใช้จ่ายงบประมาณรายจ่าย เพื่อดำเนินงานตามแผนปฏิบัติงานในรอบปีงบประมาณ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O19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รายงานการกำกับติดตามการใช้จ่ายงบประมาณ ประจำปี รอบ 6 เดือน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http://www.olo.go.th/news.php?id_type=76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รายงานรายละเอียดการใช้จ่ายงบประมาณรายจ่าย สำเพื่อดำเนินงานตามแผนปฏิบัติงาน ในรอบ6เดือน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O20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รายงานผลการใช้จ่ายงบประมาณประจำปี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http://www.olo.go.th/news.php?id_type=75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รายงานรายละเอียดการใช้จ่ายงบประมาณรายจ่ายเพื่อดำเนินงานตามแผนปฏิบัติงานในรอบปีงบประมาณ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การจัดซื้อจัดจ้างหรือการจัดหาพัสดุ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O21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แผนการจัดซื้อจัดจ้างหรือแผนการจัดหาพัสดุ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http://www.olo.go.th/news.php?id_type=34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ตามพระราชบัญญัติการจัดซื้อจัดจ้างและบริหารพัสดุภาครัฐ พ.ศ.2560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รัฐตามที่กรมบัญชีกลางกำหนด และให้ปิดประกาศโดยเปิดเผย ณ สถานที่ปิดประกาศของหน่วยงานของรัฐ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O22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http://www.olo.go.th/news.php?id_type=32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ประกาศการจัดซื้อจัดจ้าง และประกาศเผยแพร่ในระบบเครือข่ายสารสนเทศของกรมบัญชีกลางและของหน่วยงานรัฐตามที่กรมบัญชีกลางกำหนด และให้ปิดประกาศโดยเปิดเผย ณ สถานที่ปิดประกาศของหน่วยงานของรัฐ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O23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http://www.olo.go.th/news.php?id_type=35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สรุปการจัดซื้อจัดจ้าง และประกาศเผยแพร่ในระบบเครือข่ายสารสนเทศของกรมบัญชีกลางและของหน่วยงานรัฐตามที่กรมบัญชีกลางกำหนด และให้ปิดประกาศโดยเปิดเผย ณ สถานที่ปิดประกาศของหน่วยงานของรัฐ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O24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http://www.olo.go.th/news.php?id_type=35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ประกาศการจัดซื้อจัดจ้าง และประกาศเผยแพร่ในระบบเครือข่ายสารสนเทศของกรมบัญชีกลางและของหน่วยงานรัฐตามที่กรมบัญชีกลางกำหนด และให้ปิดประกาศโดยเปิดเผย ณ สถานที่ปิดประกาศของหน่วยงานของรัฐ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</w:tbl>
    <w:p>
      <w:pPr>
        <w:jc w:val="left"/>
      </w:pPr>
      <w:r>
        <w:rPr>
          <w:rFonts w:ascii="TH SarabunPSK" w:hAnsi="TH SarabunPSK" w:cs="TH SarabunPSK"/>
          <w:sz w:val="32"/>
        </w:rPr>
        <w:t/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ตัวชี้วัดย่อยที่ 9.4 การบริหารและพัฒนาทรัพยากรบุคคล</w:t>
      </w:r>
    </w:p>
    <w:tbl>
      <w:tblPr>
        <w:tblW w:w="5000" w:type="pct"/>
        <w:tblBorders>
          <w:top w:val="single" w:sz="5"/>
          <w:bottom w:val="single" w:sz="5"/>
          <w:left w:val="single" w:sz="5"/>
          <w:right w:val="single" w:sz="5"/>
          <w:insideH w:val="single" w:sz="5"/>
          <w:insideV w:val="single" w:sz="5"/>
          <w:tblLayout w:type="fixed"/>
        </w:tblBorders>
      </w:tblPr>
      <w:tblCellMar>
        <w:top w:w="108" w:type="dxa"/>
        <w:left w:w="108" w:type="dxa"/>
        <w:bottom w:w="108" w:type="dxa"/>
        <w:right w:w="108" w:type="dxa"/>
      </w:tblCellMar>
      <w:tr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ข้อ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ประเด็นการตรวจ</w:t>
            </w:r>
          </w:p>
          <w:tcPr>
            <w:shd w:fill="BFBFBF"/>
            <w:tcW w:w="40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ไม่มี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URL</w:t>
            </w:r>
          </w:p>
          <w:tcPr>
            <w:shd w:fill="BFBFBF"/>
            <w:tcW w:w="37.5" w:type="pct"/>
            <w:vAlign w:val="center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การบริหารและพัฒนาทรัพยากรบุคคล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O25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นโยบายการบริหารทรัพยากรบุคคล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http://www.olo.go.th/news.php?id_type=56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นโยบายการบริหารทรัพยากรมนุษย์เป็นแนวทางการดำเนินงานขององค์การ เพื่อให้ทรัพยากรมนุษย์สามารถปฏิบัติงานได้อย่างเต็มความสามารถตามขอบเขตหน้าที่ที่ได้รับมอบหมายเพื่อให้บรรลุวัตถุประสงค์ขององค์การ  หลักการกำหนดนโยบายการบริหารทรัพยากรมนุษย์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O26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http://www.olo.go.th/news.php?id_type=57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การดำเนินการตามนโยบายการบริหารทรัพยากรบุคคลคือหลักการกำหนดนโยบายการบริหารทรัพยากรมนุษย์เพื่อให้การทำงานบรรลุวัตถุประสงค์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O27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หลักเกณฑ์การบริหารและพัฒนาทรัพยากรบุคคล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http://www.olo.go.th/news.php?id_type=58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การบริหารจัดการในด้านความสามารถของบุคลากรเป็นปัจจัยสำคัญต่อการขับเคลื่อนขององค์กร การบริหารจัดการในส่วนของบุคคลนี้ก็ได้แก่ เรื่องทักษะการทำงาน, ประสบการณ์การทำงาน, ไปจนถึงเรื่องของลักษณะนิสัย หากทุกอย่างสอดคล้องและเหมาะสมกับการทำงานก็จะยิ่งทำให้ทำงานได้ราบรื่นไม่เกิดปัญหาใดๆ แล้วสิ่งต่างๆ เหล่านี้ก็สามารถฝึกอบรมได้เพื่อให้บุคลากรแต่ละคนพัฒนาศักยภาพของตัวเองให้สูงขึ้นได้เช่นกัน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O28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http://www.olo.go.th/news.php?id_type=59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เพื่อพัฒนาพนักงานส่วนตำบล และพนักงานจ้าง ให้ได้รับทราบถึงระเบียบแบบแผนของทางราชการ หลักและวิธีปฏิบัติราชการ บทบาทและหน้าที่ของพนักงานส่วนตำบล ในระบอบประชาธิปไตย และแนวทางปฏิบัติตนเพื่อเป็นพนักงานส่วนตำบล และพนักงานจ้างที่ดี โดยดำเนินการตามกรอบมาตรฐานความสำเร็จ 5 ด้าน ได้แก่ 1.ความสอดคล้องเชิงยุทธศาสตร์ 2.ประสิทธิภาพของการบริหารทรัพยากรบุคคล 3.ประสิทธิผลของการบริหารทรัพยากรบุคคล 4.ความพร้อมรับผิดด้านการบริหารทรัพยากรบุคคล 5.คุณภาพชีวิตและความสมดุลระหว่างชีวิตการทำงาน เพื่อพัฒนาศักยภาพขององค์องค์การบริหารส่วนตำบลให้สอดคล้องกับนโยบายและภารกิจขององค์การบริหารส่วนตำบลโอโล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</w:tbl>
    <w:p>
      <w:pPr>
        <w:jc w:val="left"/>
      </w:pPr>
      <w:r>
        <w:rPr>
          <w:rFonts w:ascii="TH SarabunPSK" w:hAnsi="TH SarabunPSK" w:cs="TH SarabunPSK"/>
          <w:sz w:val="32"/>
        </w:rPr>
        <w:t/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ตัวชี้วัดย่อยที่ 9.5 การส่งเสริมความโปร่งใส</w:t>
      </w:r>
    </w:p>
    <w:tbl>
      <w:tblPr>
        <w:tblW w:w="5000" w:type="pct"/>
        <w:tblBorders>
          <w:top w:val="single" w:sz="5"/>
          <w:bottom w:val="single" w:sz="5"/>
          <w:left w:val="single" w:sz="5"/>
          <w:right w:val="single" w:sz="5"/>
          <w:insideH w:val="single" w:sz="5"/>
          <w:insideV w:val="single" w:sz="5"/>
          <w:tblLayout w:type="fixed"/>
        </w:tblBorders>
      </w:tblPr>
      <w:tblCellMar>
        <w:top w:w="108" w:type="dxa"/>
        <w:left w:w="108" w:type="dxa"/>
        <w:bottom w:w="108" w:type="dxa"/>
        <w:right w:w="108" w:type="dxa"/>
      </w:tblCellMar>
      <w:tr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ข้อ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ประเด็นการตรวจ</w:t>
            </w:r>
          </w:p>
          <w:tcPr>
            <w:shd w:fill="BFBFBF"/>
            <w:tcW w:w="40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ไม่มี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URL</w:t>
            </w:r>
          </w:p>
          <w:tcPr>
            <w:shd w:fill="BFBFBF"/>
            <w:tcW w:w="37.5" w:type="pct"/>
            <w:vAlign w:val="center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การจัดการเรื่องร้องเรียนการทุจริต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O29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http://www.olo.go.th/news.php?id_type=60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O30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http://www.olo.go.th/contact_form1.php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สามารถร้องเรียนได้ตามแบบฟอร์ม
หรือสามารถร้องทุกข์ด้วยตนเอง ได้ที่นายกองค์การบริหารส่วนตำบล ได้ตลอดวัน/เวลาราชการ
หรือสามารถร้องเรียนผ่านแบบฟอร์มนี้ได้ตลอด 24 ชั่วโมง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O31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http://www.olo.go.th/news.php?id_type=61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การเปิดโอกาสให้เกิดการมีส่วนร่วม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O32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ช่องทางการรับฟังความคิดเห็น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http://www.olo.go.th/contact_form2.php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ช่องทางการรับฟังความคิดเห็น
สามารถแสดงความคิดเห็นผ่านแบบฟอร์มในเว็บ อบต.โอโลได้ตลอด 24 ชั่วโมง
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O33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การเปิดโอกาสให้เกิดการมีส่วนร่วม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http://www.olo.go.th/activity/index.php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การเปิดโอกาสให้ผู้มีส่วนได้ส่วนเสีย เข้ามาร่วมดำเนินกิจกรรม ตั้งแต่การศึกษาปัญหา การวางแผนดำเนินการ การตัดสินใจ การแก้ไขปัญหา และการประเมินร่วมกัน เพื่อขับเคลื่อนให้กิจกรรมนั้นดำเนินไปอย่างมีประสิทธิภาพโดยยึดหลักการมีส่วนร่วม คือ หลักร่วมคิด ร่วมทำ ร่วมตรวจสอบ ร่วมรับผิดชอบ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</w:tbl>
    <w:p>
      <w:pPr>
        <w:jc w:val="left"/>
      </w:pPr>
      <w:r>
        <w:rPr>
          <w:rFonts w:ascii="TH SarabunPSK" w:hAnsi="TH SarabunPSK" w:cs="TH SarabunPSK"/>
          <w:sz w:val="32"/>
        </w:rPr>
        <w:t/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ตัวชี้วัดที่ 10 การป้องกันการทุจริต</w:t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ตัวชี้วัดย่อยที่ 10.1 การดำเนินการเพื่อป้องกันการทุจริต</w:t>
      </w:r>
    </w:p>
    <w:tbl>
      <w:tblPr>
        <w:tblW w:w="5000" w:type="pct"/>
        <w:tblBorders>
          <w:top w:val="single" w:sz="5"/>
          <w:bottom w:val="single" w:sz="5"/>
          <w:left w:val="single" w:sz="5"/>
          <w:right w:val="single" w:sz="5"/>
          <w:insideH w:val="single" w:sz="5"/>
          <w:insideV w:val="single" w:sz="5"/>
          <w:tblLayout w:type="fixed"/>
        </w:tblBorders>
      </w:tblPr>
      <w:tblCellMar>
        <w:top w:w="108" w:type="dxa"/>
        <w:left w:w="108" w:type="dxa"/>
        <w:bottom w:w="108" w:type="dxa"/>
        <w:right w:w="108" w:type="dxa"/>
      </w:tblCellMar>
      <w:tr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ข้อ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ประเด็นการตรวจ</w:t>
            </w:r>
          </w:p>
          <w:tcPr>
            <w:shd w:fill="BFBFBF"/>
            <w:tcW w:w="40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ไม่มี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URL</w:t>
            </w:r>
          </w:p>
          <w:tcPr>
            <w:shd w:fill="BFBFBF"/>
            <w:tcW w:w="37.5" w:type="pct"/>
            <w:vAlign w:val="center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เจตจำนงสุจริตของผู้บริหาร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O34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นโยบายไม่รับของขวัญ (No Gift Policy)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http://www.olo.go.th/news.php?id_type=79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ประกาศเจตนารมณ์นโยบาย No Gift Policy ขององค์กร เป็นการประกาศของ ผู้บริหารสูงสุดขององค์กรเพื่อให้บุคคล หรือหน่วยงาน หรือสังคม หรือสาธารณชน รับรู้ว่า ตนเองและเจ้าหน้าที่ของ รัฐทุกคนในหน่วยงานจะไม่รับของขวัญและของกานัลทุกชนิดในขณะ / ก่อน / หลังปฏิบัติหน้าที่ ที่จะส่งผลให้เกิดการทุจริต และประพฤติมิชอบ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O35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การมีส่วนร่วมของผู้บริหาร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http://www.olo.go.th/news.php?id_type=64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การที่บุคคลผู้บริหารใช้การจูงใจให้บุคคลผู้ปฏิบัติงานหรือบุคคล ผู้ที่เกี่ยวข้องได้มีโอกาสมีส่วนร่วมในการคิด ร่วมตัดสินใจ ร่วมปฏิบัติงาน ร่วมรับผิดชอบ เพื่อพัฒนา งานที่ปฏิบัติให้มีคุณภาพสูงสุด ซึ่งเป็นการเปิดโอกาสให้บุคคลหรือกลุ่มบุคคลได้มีส่วนเกี่ยวข้องในการ ปฏิบัติงานไม่ว่าจะเป็นทางตรงหรือทางอ้อมในลักษณะของการรับรู้ ร่วมคิด ร่วมทำ ร่วมตัดสินใจตลอดจน
การประเมินผลให้ทุกฝ่ายได้สำนึกในหน้าที่และความรับผิดชอบร่วมกัน อันจะนำไปสู่เป้าหมายขององค์กร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การประเมินความเสี่ยงเพื่อการป้องกันการทุจริต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O36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การประเมินความเสี่ยงการทุจริตประจำปี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http://www.olo.go.th/news.php?id_type=65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O37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การดำเนินการเพื่อจัดการความเสี่ยงการทุจริต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http://www.olo.go.th/news.php?id_type=66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การเสริมสร้างวัฒนธรรมองค์กร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O38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การเสริมสร้างวัฒนธรรมองค์กร ตามมาตรฐานทางจริยธรรม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http://www.olo.go.th/news.php?id_type=67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เป็นวิถึชีวิตที่คนกลุ่มใดกลุ่มหนึ่งยึดถือปฏิบัติสืบต่อกันมา ซึ่งจะกลายเป็นนิสัยและความเคยชินและกลายเป็นขนบธรรมเนียมประเพณี วิถีประพฤติปฏิบัติ ความเชื่อ ค่านิยม รวมทั้งภาษาวัตถุสิ่งของต่างๆ วัฒนธรรมทำให้คนรวมตัวกันเป็นสังคม มีการอยู่ร่วมกัน อย่างมีระบบ ผลของวัฒนธรรมจะออกมาในรูปจริยธรรม ตลอดจนค่านิยมที่ใช้ในการตัดสินใจ หรือวินิจฉัยสั่งการ จริยธรรมองค์กรถือเป็นส่วนสำคัญที่จะทำให้การดำเนินงานขององค์กรก้าวหน้า และส่งผลให้องค์กรได้รับความเชื่อถือจากสังคม ดังนั้นองค์กรทุกประเภทจึงจำเป็นอย่างยิ่ง ที่จะต้องนำจริยธรรมมาใช้ในการบริหารและแก้ไขปัญหาองค์กรอย่างถูกวิธี เพื่อได้รับความเชื่อถือ ภาพพจน์ที่ดี อันนำมาซึ่งชื่อเสียง เกียรติยศและความก้าวหน้าในระยะยาวขององค์กร ในองค์กรทั้งหลายซึ่งเกิดจากการรวมกลุ่มของคนอย่างมีระเบียบนั้น ถ้าเรามองที่ปัจเจกบุคคล จะเห็นว่า บุคคลจะกระทำการไปสู่เป้าหมายใดๆ ได้นั้น อาศัยศูนย์รวมของใจหรือจิตใจ เป็นตัวนำ ดังที่มักกล่าวกันว่า  “สำเร็จด้วยใจ” เมื่อปัจเจกบุคคลมารวมกันในองค์กรมีจิตใจมากมาย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แผนปฏิบัติการป้องกันการทุจริต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O39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แผนปฏิบัติการป้องกันการทุจริต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http://www.olo.go.th/news.php?id_type=68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O40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http://www.olo.go.th/news.php?id_type=69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O41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http://www.olo.go.th/news.php?id_type=70</w:t>
            </w:r>
          </w:p>
        </w:tc>
      </w:tr>
    </w:tbl>
    <w:p>
      <w:pPr>
        <w:jc w:val="left"/>
      </w:pPr>
      <w:r>
        <w:rPr>
          <w:rFonts w:ascii="TH SarabunPSK" w:hAnsi="TH SarabunPSK" w:cs="TH SarabunPSK"/>
          <w:sz w:val="32"/>
        </w:rPr>
        <w:t/>
      </w:r>
    </w:p>
    <w:p>
      <w:pPr>
        <w:jc w:val="left"/>
      </w:pPr>
      <w:r>
        <w:rPr>
          <w:rFonts w:ascii="TH SarabunPSK" w:hAnsi="TH SarabunPSK" w:cs="TH SarabunPSK"/>
          <w:sz w:val="32"/>
          <w:b/>
        </w:rPr>
        <w:t>ตัวชี้วัดย่อยที่ 10.2 มาตรการภายในเพื่อป้องกันการทุจริต</w:t>
      </w:r>
    </w:p>
    <w:tbl>
      <w:tblPr>
        <w:tblW w:w="5000" w:type="pct"/>
        <w:tblBorders>
          <w:top w:val="single" w:sz="5"/>
          <w:bottom w:val="single" w:sz="5"/>
          <w:left w:val="single" w:sz="5"/>
          <w:right w:val="single" w:sz="5"/>
          <w:insideH w:val="single" w:sz="5"/>
          <w:insideV w:val="single" w:sz="5"/>
          <w:tblLayout w:type="fixed"/>
        </w:tblBorders>
      </w:tblPr>
      <w:tblCellMar>
        <w:top w:w="108" w:type="dxa"/>
        <w:left w:w="108" w:type="dxa"/>
        <w:bottom w:w="108" w:type="dxa"/>
        <w:right w:w="108" w:type="dxa"/>
      </w:tblCellMar>
      <w:tr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ข้อ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ประเด็นการตรวจ</w:t>
            </w:r>
          </w:p>
          <w:tcPr>
            <w:shd w:fill="BFBFBF"/>
            <w:tcW w:w="40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ไม่มี</w:t>
            </w:r>
          </w:p>
          <w:tcPr>
            <w:shd w:fill="BFBFBF"/>
            <w:tcW w:w="7.5" w:type="pct"/>
            <w:vAlign w:val="center"/>
          </w:tcPr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b/>
              </w:rPr>
              <w:t>URL</w:t>
            </w:r>
          </w:p>
          <w:tcPr>
            <w:shd w:fill="BFBFBF"/>
            <w:tcW w:w="37.5" w:type="pct"/>
            <w:vAlign w:val="center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  <w:b/>
              </w:rPr>
              <w:t>มาตรการส่งเสริมความโปร่งใสและป้องกันการทุจริตภายในหน่วยงาน</w:t>
            </w:r>
          </w:p>
          <w:tcPr>
            <w:hMerge w:val="restart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  <w:shd w:fill="D9D9D9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O42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http://www.olo.go.th/news.php?id_type=71</w:t>
            </w:r>
          </w:p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คำอธิบาย : แสดงเจตจำนงสุจริตในการบริหารงานของผู้บริหาร / ประกาศนโยบายและความโปร่งใสในการดำเนินงาน
การมีส่วนร่วมของผู้บริหาร
การประเมินความเสี่ยงการทุจริตประจำปี
การดำเนินการเพื่อจัดการความเสี่ยงการทุจริต
การเสริมสร้างวัฒนธรรมองค์กร</w:t>
            </w:r>
          </w:p>
          <w:tcPr>
            <w:hMerge w:val="restart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  <w:tcPr>
            <w:hMerge w:val="continue"/>
          </w:tcPr>
        </w:tc>
      </w:tr>
      <w:tr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O43</w:t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  <w:sym w:font="Wingdings 2" w:char="0050"/>
              </w:rPr>
              <w:t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t/>
            </w:r>
          </w:p>
        </w:tc>
        <w:tc>
          <w:tcPr>
            <w:vAlign w:val="center"/>
          </w:tcPr>
          <w:p>
            <w:pPr>
              <w:jc w:val="left"/>
            </w:pPr>
            <w:r>
              <w:rPr>
                <w:rFonts w:ascii="TH SarabunPSK" w:hAnsi="TH SarabunPSK" w:cs="TH SarabunPSK"/>
                <w:sz w:val="32"/>
              </w:rPr>
              <w:t>- url : http://www.olo.go.th/news.php?id_type=72</w:t>
            </w:r>
          </w:p>
        </w:tc>
      </w:tr>
    </w:tbl>
    <w:p>
      <w:pPr>
        <w:jc w:val="left"/>
      </w:pPr>
      <w:r>
        <w:rPr>
          <w:rFonts w:ascii="TH SarabunPSK" w:hAnsi="TH SarabunPSK" w:cs="TH SarabunPSK"/>
          <w:sz w:val="32"/>
        </w:rPr>
        <w:t/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f08a170b2db64362" /></Relationships>
</file>